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D9" w:rsidRDefault="00597F07">
      <w:pPr>
        <w:jc w:val="center"/>
        <w:rPr>
          <w:rFonts w:hint="eastAsia"/>
        </w:rPr>
      </w:pPr>
      <w:bookmarkStart w:id="0" w:name="_GoBack"/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оказании платных образовательных услуг за счет </w:t>
      </w:r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</w:rPr>
        <w:t>средств физических (юридических) лиц за 202</w:t>
      </w:r>
      <w:r w:rsidR="003C7461"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>
        <w:rPr>
          <w:rStyle w:val="a3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7461" w:rsidRPr="003C7461" w:rsidRDefault="003C7461" w:rsidP="003C7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6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C7461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C7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461">
        <w:rPr>
          <w:rFonts w:ascii="Times New Roman" w:hAnsi="Times New Roman" w:cs="Times New Roman"/>
          <w:b/>
          <w:sz w:val="28"/>
          <w:szCs w:val="28"/>
        </w:rPr>
        <w:t>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C7461">
        <w:rPr>
          <w:rFonts w:ascii="Times New Roman" w:hAnsi="Times New Roman" w:cs="Times New Roman"/>
          <w:b/>
          <w:sz w:val="28"/>
          <w:szCs w:val="28"/>
        </w:rPr>
        <w:t xml:space="preserve"> дополнительного</w:t>
      </w:r>
      <w:r w:rsidRPr="003C7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46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B28D9" w:rsidRDefault="003C7461" w:rsidP="003C746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C7461">
        <w:rPr>
          <w:rFonts w:ascii="Times New Roman" w:hAnsi="Times New Roman" w:cs="Times New Roman"/>
          <w:b/>
          <w:sz w:val="28"/>
          <w:szCs w:val="28"/>
        </w:rPr>
        <w:t>«Ленинская детская</w:t>
      </w:r>
      <w:r w:rsidRPr="003C7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461">
        <w:rPr>
          <w:rFonts w:ascii="Times New Roman" w:hAnsi="Times New Roman" w:cs="Times New Roman"/>
          <w:b/>
          <w:sz w:val="28"/>
          <w:szCs w:val="28"/>
        </w:rPr>
        <w:t>школа искусств»</w:t>
      </w:r>
    </w:p>
    <w:bookmarkEnd w:id="0"/>
    <w:p w:rsidR="009B28D9" w:rsidRDefault="009B28D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84" w:type="dxa"/>
        <w:tblInd w:w="-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4"/>
        <w:gridCol w:w="2844"/>
        <w:gridCol w:w="2916"/>
      </w:tblGrid>
      <w:tr w:rsidR="009B28D9"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8D9" w:rsidRDefault="00597F07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9B28D9">
        <w:trPr>
          <w:trHeight w:val="210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8D9" w:rsidRDefault="00597F07">
            <w:pPr>
              <w:pStyle w:val="a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счет средств субсидии на финансовое обеспечение выполнения государственного (муниципальн</w:t>
            </w:r>
            <w:r>
              <w:rPr>
                <w:rFonts w:ascii="Times New Roman" w:hAnsi="Times New Roman"/>
                <w:color w:val="000000"/>
              </w:rPr>
              <w:t>ого) задания, тыс. руб.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8D9" w:rsidRDefault="00597F07">
            <w:pPr>
              <w:pStyle w:val="a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счет средств субсидии, предоставляемой в соответствии с абзацем вторым пункта 1 статьи 78.1 Бюджетного кодекса Российской Федерации, тыс. руб.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8D9" w:rsidRDefault="00597F07">
            <w:pPr>
              <w:pStyle w:val="a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договорам об оказании платных образовательных услуг, тыс. руб.</w:t>
            </w:r>
          </w:p>
        </w:tc>
      </w:tr>
      <w:tr w:rsidR="009B28D9"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28D9" w:rsidRPr="003C7461" w:rsidRDefault="00597F07">
            <w:pPr>
              <w:pStyle w:val="a9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97F07">
              <w:rPr>
                <w:rFonts w:ascii="Times New Roman" w:hAnsi="Times New Roman"/>
                <w:color w:val="000000"/>
              </w:rPr>
              <w:t>35 361,0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28D9" w:rsidRPr="003C7461" w:rsidRDefault="00597F07">
            <w:pPr>
              <w:pStyle w:val="a9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97F07">
              <w:rPr>
                <w:rFonts w:ascii="Times New Roman" w:hAnsi="Times New Roman"/>
                <w:color w:val="000000"/>
              </w:rPr>
              <w:t>5 780,1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8D9" w:rsidRPr="003C7461" w:rsidRDefault="003C7461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3C7461">
              <w:rPr>
                <w:rFonts w:ascii="Times New Roman" w:hAnsi="Times New Roman"/>
                <w:color w:val="000000"/>
              </w:rPr>
              <w:t>274,6</w:t>
            </w:r>
          </w:p>
          <w:p w:rsidR="009B28D9" w:rsidRPr="003C7461" w:rsidRDefault="009B28D9">
            <w:pPr>
              <w:pStyle w:val="a9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:rsidR="009B28D9" w:rsidRDefault="009B28D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B28D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D9"/>
    <w:rsid w:val="003C7461"/>
    <w:rsid w:val="00597F07"/>
    <w:rsid w:val="009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E556"/>
  <w15:docId w15:val="{1AFD0922-0E97-44A8-B7BF-EF783EAC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Света</cp:lastModifiedBy>
  <cp:revision>3</cp:revision>
  <dcterms:created xsi:type="dcterms:W3CDTF">2025-08-19T21:32:00Z</dcterms:created>
  <dcterms:modified xsi:type="dcterms:W3CDTF">2026-04-07T11:09:00Z</dcterms:modified>
  <dc:language>ru-RU</dc:language>
</cp:coreProperties>
</file>